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384" w:lineRule="atLeast"/>
        <w:jc w:val="both"/>
        <w:rPr>
          <w:rFonts w:hint="eastAsia" w:ascii="黑体" w:hAnsi="黑体" w:eastAsia="黑体" w:cs="黑体"/>
          <w:color w:val="333333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333333"/>
          <w:sz w:val="32"/>
          <w:szCs w:val="32"/>
        </w:rPr>
        <w:t>附件1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157" w:afterLines="50" w:afterAutospacing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eastAsia="仿宋_GB2312"/>
          <w:color w:val="333333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201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年度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lang w:eastAsia="zh-CN"/>
        </w:rPr>
        <w:t>和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lang w:val="en-US" w:eastAsia="zh-CN"/>
        </w:rPr>
        <w:t>2016年度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农业科技成果转化资金项目清单</w:t>
      </w:r>
    </w:p>
    <w:tbl>
      <w:tblPr>
        <w:tblStyle w:val="3"/>
        <w:tblW w:w="1403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346"/>
        <w:gridCol w:w="6405"/>
        <w:gridCol w:w="3684"/>
        <w:gridCol w:w="17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49" w:type="dxa"/>
            <w:vAlign w:val="center"/>
          </w:tcPr>
          <w:p>
            <w:pPr>
              <w:pStyle w:val="4"/>
              <w:spacing w:before="0" w:beforeAutospacing="0" w:after="0" w:afterAutospacing="0" w:line="384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2"/>
                <w:sz w:val="24"/>
                <w:szCs w:val="24"/>
              </w:rPr>
              <w:t>序号</w:t>
            </w:r>
          </w:p>
        </w:tc>
        <w:tc>
          <w:tcPr>
            <w:tcW w:w="1346" w:type="dxa"/>
            <w:vAlign w:val="center"/>
          </w:tcPr>
          <w:p>
            <w:pPr>
              <w:pStyle w:val="4"/>
              <w:spacing w:before="0" w:beforeAutospacing="0" w:after="0" w:afterAutospacing="0" w:line="384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2"/>
                <w:sz w:val="24"/>
                <w:szCs w:val="24"/>
                <w:lang w:val="en-US" w:eastAsia="zh-CN"/>
              </w:rPr>
              <w:t>项目编号</w:t>
            </w:r>
          </w:p>
        </w:tc>
        <w:tc>
          <w:tcPr>
            <w:tcW w:w="6405" w:type="dxa"/>
            <w:vAlign w:val="center"/>
          </w:tcPr>
          <w:p>
            <w:pPr>
              <w:pStyle w:val="4"/>
              <w:spacing w:before="0" w:beforeAutospacing="0" w:after="0" w:afterAutospacing="0" w:line="384" w:lineRule="atLeas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2"/>
                <w:sz w:val="24"/>
                <w:szCs w:val="24"/>
              </w:rPr>
              <w:t>项目名称</w:t>
            </w:r>
          </w:p>
        </w:tc>
        <w:tc>
          <w:tcPr>
            <w:tcW w:w="3684" w:type="dxa"/>
            <w:vAlign w:val="center"/>
          </w:tcPr>
          <w:p>
            <w:pPr>
              <w:pStyle w:val="4"/>
              <w:spacing w:before="0" w:beforeAutospacing="0" w:after="0" w:afterAutospacing="0" w:line="384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2"/>
                <w:sz w:val="24"/>
                <w:szCs w:val="24"/>
              </w:rPr>
              <w:t>承担单位</w:t>
            </w:r>
          </w:p>
        </w:tc>
        <w:tc>
          <w:tcPr>
            <w:tcW w:w="1746" w:type="dxa"/>
            <w:vAlign w:val="center"/>
          </w:tcPr>
          <w:p>
            <w:pPr>
              <w:pStyle w:val="4"/>
              <w:spacing w:before="0" w:beforeAutospacing="0" w:after="0" w:afterAutospacing="0" w:line="384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2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49" w:type="dxa"/>
            <w:vAlign w:val="center"/>
          </w:tcPr>
          <w:p>
            <w:pPr>
              <w:pStyle w:val="4"/>
              <w:numPr>
                <w:ilvl w:val="0"/>
                <w:numId w:val="1"/>
              </w:numPr>
              <w:spacing w:before="0" w:beforeAutospacing="0" w:after="0" w:afterAutospacing="0" w:line="384" w:lineRule="atLeast"/>
              <w:ind w:left="425" w:leftChars="0" w:hanging="425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2015C001</w:t>
            </w:r>
          </w:p>
        </w:tc>
        <w:tc>
          <w:tcPr>
            <w:tcW w:w="64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高效新型除草剂50%吡嘧二氯喹啉酸可湿性粉剂的产业化</w:t>
            </w:r>
          </w:p>
        </w:tc>
        <w:tc>
          <w:tcPr>
            <w:tcW w:w="36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浙江天丰生物科学有限公司</w:t>
            </w:r>
          </w:p>
        </w:tc>
        <w:tc>
          <w:tcPr>
            <w:tcW w:w="1746" w:type="dxa"/>
            <w:vAlign w:val="center"/>
          </w:tcPr>
          <w:p>
            <w:pPr>
              <w:pStyle w:val="4"/>
              <w:spacing w:before="0" w:beforeAutospacing="0" w:after="0" w:afterAutospacing="0" w:line="384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49" w:type="dxa"/>
            <w:vAlign w:val="center"/>
          </w:tcPr>
          <w:p>
            <w:pPr>
              <w:pStyle w:val="4"/>
              <w:numPr>
                <w:ilvl w:val="0"/>
                <w:numId w:val="1"/>
              </w:numPr>
              <w:spacing w:before="0" w:beforeAutospacing="0" w:after="0" w:afterAutospacing="0" w:line="384" w:lineRule="atLeast"/>
              <w:ind w:left="425" w:leftChars="0" w:hanging="425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2015C002</w:t>
            </w:r>
          </w:p>
        </w:tc>
        <w:tc>
          <w:tcPr>
            <w:tcW w:w="64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规模化猪场伪狂犬病防控与净化技术中试及示范</w:t>
            </w:r>
          </w:p>
        </w:tc>
        <w:tc>
          <w:tcPr>
            <w:tcW w:w="36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金华市鑫凯农牧有限公司</w:t>
            </w:r>
          </w:p>
        </w:tc>
        <w:tc>
          <w:tcPr>
            <w:tcW w:w="1746" w:type="dxa"/>
            <w:vAlign w:val="center"/>
          </w:tcPr>
          <w:p>
            <w:pPr>
              <w:pStyle w:val="4"/>
              <w:spacing w:before="0" w:beforeAutospacing="0" w:after="0" w:afterAutospacing="0" w:line="384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49" w:type="dxa"/>
            <w:vAlign w:val="center"/>
          </w:tcPr>
          <w:p>
            <w:pPr>
              <w:pStyle w:val="4"/>
              <w:numPr>
                <w:ilvl w:val="0"/>
                <w:numId w:val="1"/>
              </w:numPr>
              <w:spacing w:before="0" w:beforeAutospacing="0" w:after="0" w:afterAutospacing="0" w:line="384" w:lineRule="atLeast"/>
              <w:ind w:left="425" w:leftChars="0" w:hanging="425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2015C003</w:t>
            </w:r>
          </w:p>
        </w:tc>
        <w:tc>
          <w:tcPr>
            <w:tcW w:w="64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虎纹蛙杂交技术中试与示范</w:t>
            </w:r>
          </w:p>
        </w:tc>
        <w:tc>
          <w:tcPr>
            <w:tcW w:w="36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金华市金东区虎娲蛙类驯养场</w:t>
            </w:r>
          </w:p>
        </w:tc>
        <w:tc>
          <w:tcPr>
            <w:tcW w:w="1746" w:type="dxa"/>
            <w:vAlign w:val="center"/>
          </w:tcPr>
          <w:p>
            <w:pPr>
              <w:pStyle w:val="4"/>
              <w:spacing w:before="0" w:beforeAutospacing="0" w:after="0" w:afterAutospacing="0" w:line="384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49" w:type="dxa"/>
            <w:vAlign w:val="center"/>
          </w:tcPr>
          <w:p>
            <w:pPr>
              <w:pStyle w:val="4"/>
              <w:numPr>
                <w:ilvl w:val="0"/>
                <w:numId w:val="1"/>
              </w:numPr>
              <w:spacing w:before="0" w:beforeAutospacing="0" w:after="0" w:afterAutospacing="0" w:line="384" w:lineRule="atLeast"/>
              <w:ind w:left="425" w:leftChars="0" w:hanging="425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2015C004</w:t>
            </w:r>
          </w:p>
        </w:tc>
        <w:tc>
          <w:tcPr>
            <w:tcW w:w="64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种植园小型硬土开荒耕作机械试验示范</w:t>
            </w:r>
          </w:p>
        </w:tc>
        <w:tc>
          <w:tcPr>
            <w:tcW w:w="36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金华爱司伯机电科技有限公司</w:t>
            </w:r>
          </w:p>
        </w:tc>
        <w:tc>
          <w:tcPr>
            <w:tcW w:w="1746" w:type="dxa"/>
            <w:vAlign w:val="center"/>
          </w:tcPr>
          <w:p>
            <w:pPr>
              <w:pStyle w:val="4"/>
              <w:spacing w:before="0" w:beforeAutospacing="0" w:after="0" w:afterAutospacing="0" w:line="384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49" w:type="dxa"/>
            <w:vAlign w:val="center"/>
          </w:tcPr>
          <w:p>
            <w:pPr>
              <w:pStyle w:val="4"/>
              <w:numPr>
                <w:ilvl w:val="0"/>
                <w:numId w:val="1"/>
              </w:numPr>
              <w:spacing w:before="0" w:beforeAutospacing="0" w:after="0" w:afterAutospacing="0" w:line="384" w:lineRule="atLeast"/>
              <w:ind w:left="425" w:leftChars="0" w:hanging="425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2015C005</w:t>
            </w:r>
          </w:p>
        </w:tc>
        <w:tc>
          <w:tcPr>
            <w:tcW w:w="64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金华猪球虫病防制方案中试与示范</w:t>
            </w:r>
          </w:p>
        </w:tc>
        <w:tc>
          <w:tcPr>
            <w:tcW w:w="36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金华市迷农家庭农场有限公司</w:t>
            </w:r>
          </w:p>
        </w:tc>
        <w:tc>
          <w:tcPr>
            <w:tcW w:w="1746" w:type="dxa"/>
            <w:vAlign w:val="center"/>
          </w:tcPr>
          <w:p>
            <w:pPr>
              <w:pStyle w:val="4"/>
              <w:spacing w:before="0" w:beforeAutospacing="0" w:after="0" w:afterAutospacing="0" w:line="384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49" w:type="dxa"/>
            <w:vAlign w:val="center"/>
          </w:tcPr>
          <w:p>
            <w:pPr>
              <w:pStyle w:val="4"/>
              <w:numPr>
                <w:ilvl w:val="0"/>
                <w:numId w:val="1"/>
              </w:numPr>
              <w:spacing w:before="0" w:beforeAutospacing="0" w:after="0" w:afterAutospacing="0" w:line="384" w:lineRule="atLeast"/>
              <w:ind w:left="425" w:leftChars="0" w:hanging="425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2015C006</w:t>
            </w:r>
          </w:p>
        </w:tc>
        <w:tc>
          <w:tcPr>
            <w:tcW w:w="64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冷水性鱼、蛙立体循环养殖模式构建及示范</w:t>
            </w:r>
          </w:p>
        </w:tc>
        <w:tc>
          <w:tcPr>
            <w:tcW w:w="36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金华市三龙水产专业合作社</w:t>
            </w:r>
          </w:p>
        </w:tc>
        <w:tc>
          <w:tcPr>
            <w:tcW w:w="1746" w:type="dxa"/>
            <w:vAlign w:val="center"/>
          </w:tcPr>
          <w:p>
            <w:pPr>
              <w:pStyle w:val="4"/>
              <w:spacing w:before="0" w:beforeAutospacing="0" w:after="0" w:afterAutospacing="0" w:line="384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49" w:type="dxa"/>
            <w:vAlign w:val="center"/>
          </w:tcPr>
          <w:p>
            <w:pPr>
              <w:pStyle w:val="4"/>
              <w:numPr>
                <w:ilvl w:val="0"/>
                <w:numId w:val="1"/>
              </w:numPr>
              <w:spacing w:before="0" w:beforeAutospacing="0" w:after="0" w:afterAutospacing="0" w:line="384" w:lineRule="atLeast"/>
              <w:ind w:left="425" w:leftChars="0" w:hanging="425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2016C001</w:t>
            </w:r>
          </w:p>
        </w:tc>
        <w:tc>
          <w:tcPr>
            <w:tcW w:w="64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金线莲组培苗繁育技术中试与产业化示范</w:t>
            </w:r>
          </w:p>
        </w:tc>
        <w:tc>
          <w:tcPr>
            <w:tcW w:w="36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金华市荆龙生物科技有限公司</w:t>
            </w:r>
          </w:p>
        </w:tc>
        <w:tc>
          <w:tcPr>
            <w:tcW w:w="1746" w:type="dxa"/>
            <w:vMerge w:val="restart"/>
            <w:vAlign w:val="center"/>
          </w:tcPr>
          <w:p>
            <w:pPr>
              <w:pStyle w:val="4"/>
              <w:spacing w:before="0" w:beforeAutospacing="0" w:after="0" w:afterAutospacing="0" w:line="384" w:lineRule="atLeast"/>
              <w:jc w:val="left"/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eastAsia="zh-CN"/>
              </w:rPr>
              <w:t>需提供经具有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eastAsia="zh-CN"/>
              </w:rPr>
              <w:t>资质的中介机构签证的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eastAsia="zh-CN"/>
              </w:rPr>
              <w:t>审计报告。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49" w:type="dxa"/>
            <w:vAlign w:val="center"/>
          </w:tcPr>
          <w:p>
            <w:pPr>
              <w:pStyle w:val="4"/>
              <w:numPr>
                <w:ilvl w:val="0"/>
                <w:numId w:val="1"/>
              </w:numPr>
              <w:spacing w:before="0" w:beforeAutospacing="0" w:after="0" w:afterAutospacing="0" w:line="384" w:lineRule="atLeast"/>
              <w:ind w:left="425" w:leftChars="0" w:hanging="425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2016C002</w:t>
            </w:r>
          </w:p>
        </w:tc>
        <w:tc>
          <w:tcPr>
            <w:tcW w:w="64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珍珠颜色定向培育技术与“一珠多色”珍珠的研发中试</w:t>
            </w:r>
          </w:p>
        </w:tc>
        <w:tc>
          <w:tcPr>
            <w:tcW w:w="36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金华市威旺养殖新技术有限公司</w:t>
            </w:r>
          </w:p>
        </w:tc>
        <w:tc>
          <w:tcPr>
            <w:tcW w:w="1746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384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49" w:type="dxa"/>
            <w:vAlign w:val="center"/>
          </w:tcPr>
          <w:p>
            <w:pPr>
              <w:pStyle w:val="4"/>
              <w:numPr>
                <w:ilvl w:val="0"/>
                <w:numId w:val="1"/>
              </w:numPr>
              <w:spacing w:before="0" w:beforeAutospacing="0" w:after="0" w:afterAutospacing="0" w:line="384" w:lineRule="atLeast"/>
              <w:ind w:left="425" w:leftChars="0" w:hanging="425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2016C003</w:t>
            </w:r>
          </w:p>
        </w:tc>
        <w:tc>
          <w:tcPr>
            <w:tcW w:w="64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设施西瓜”佳蜜”等新品种优质高效栽培技术示范与推广</w:t>
            </w:r>
          </w:p>
        </w:tc>
        <w:tc>
          <w:tcPr>
            <w:tcW w:w="36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金华禾园种业科技开发有限公司</w:t>
            </w:r>
          </w:p>
        </w:tc>
        <w:tc>
          <w:tcPr>
            <w:tcW w:w="1746" w:type="dxa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384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</w:rPr>
            </w:pPr>
          </w:p>
        </w:tc>
      </w:tr>
    </w:tbl>
    <w:p>
      <w:pPr>
        <w:rPr>
          <w:rFonts w:hint="eastAsia" w:ascii="仿宋_GB2312" w:eastAsia="仿宋_GB2312"/>
        </w:rPr>
      </w:pPr>
    </w:p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1CEE23"/>
    <w:multiLevelType w:val="singleLevel"/>
    <w:tmpl w:val="591CEE2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870262"/>
    <w:rsid w:val="2465270E"/>
    <w:rsid w:val="6A605C9D"/>
    <w:rsid w:val="6D535020"/>
    <w:rsid w:val="7C870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2018-03-22T00:14:00Z</dcterms:created>
  <dc:creator>★旭★</dc:creator>
  <cp:lastModifiedBy>WPS_1484017471</cp:lastModifiedBy>
  <cp:lastPrinted>2018-04-09T06:19:00Z</cp:lastPrinted>
  <dcterms:modified xsi:type="dcterms:W3CDTF">2018-04-11T02:35:39Z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